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30D9" w:rsidRPr="006423BB" w:rsidRDefault="00C330D9" w:rsidP="006423BB">
      <w:pPr>
        <w:spacing w:line="240" w:lineRule="exact"/>
        <w:rPr>
          <w:rFonts w:ascii="微软雅黑" w:eastAsia="微软雅黑" w:hAnsi="微软雅黑" w:cs="Arial" w:hint="eastAsia"/>
          <w:kern w:val="0"/>
          <w:sz w:val="22"/>
          <w:szCs w:val="22"/>
        </w:rPr>
      </w:pPr>
    </w:p>
    <w:p w:rsidR="00C330D9" w:rsidRPr="006423BB" w:rsidRDefault="00384814" w:rsidP="008E0F64">
      <w:pPr>
        <w:spacing w:line="600" w:lineRule="exact"/>
        <w:jc w:val="center"/>
        <w:rPr>
          <w:rFonts w:ascii="微软雅黑" w:eastAsia="微软雅黑" w:hAnsi="微软雅黑" w:cs="Arial"/>
          <w:b/>
          <w:bCs/>
          <w:color w:val="FF0000"/>
          <w:sz w:val="40"/>
          <w:szCs w:val="40"/>
        </w:rPr>
      </w:pPr>
      <w:r w:rsidRPr="006423BB">
        <w:rPr>
          <w:rFonts w:ascii="微软雅黑" w:eastAsia="微软雅黑" w:hAnsi="微软雅黑" w:cs="Arial" w:hint="eastAsia"/>
          <w:b/>
          <w:bCs/>
          <w:color w:val="FF0000"/>
          <w:sz w:val="40"/>
          <w:szCs w:val="40"/>
        </w:rPr>
        <w:t>中华人民共和国无障碍环境建设法</w:t>
      </w:r>
    </w:p>
    <w:p w:rsidR="00C330D9" w:rsidRDefault="00C330D9" w:rsidP="006423BB">
      <w:pPr>
        <w:spacing w:line="240" w:lineRule="exact"/>
        <w:jc w:val="center"/>
        <w:rPr>
          <w:rFonts w:ascii="微软雅黑" w:eastAsia="微软雅黑" w:hAnsi="微软雅黑" w:cs="Arial"/>
          <w:kern w:val="0"/>
          <w:sz w:val="22"/>
          <w:szCs w:val="22"/>
        </w:rPr>
      </w:pPr>
    </w:p>
    <w:p w:rsidR="008E0F64" w:rsidRDefault="008E0F64" w:rsidP="006423BB">
      <w:pPr>
        <w:spacing w:line="240" w:lineRule="exact"/>
        <w:jc w:val="center"/>
        <w:rPr>
          <w:rFonts w:ascii="微软雅黑" w:eastAsia="微软雅黑" w:hAnsi="微软雅黑" w:cs="Arial"/>
          <w:kern w:val="0"/>
          <w:sz w:val="22"/>
          <w:szCs w:val="22"/>
        </w:rPr>
      </w:pPr>
      <w:r>
        <w:rPr>
          <w:rFonts w:ascii="微软雅黑" w:eastAsia="微软雅黑" w:hAnsi="微软雅黑" w:cs="Arial" w:hint="eastAsia"/>
          <w:kern w:val="0"/>
          <w:sz w:val="22"/>
          <w:szCs w:val="22"/>
        </w:rPr>
        <w:t>2023-09-01</w:t>
      </w:r>
    </w:p>
    <w:p w:rsidR="008E0F64" w:rsidRPr="008E0F64" w:rsidRDefault="008E0F64" w:rsidP="006423BB">
      <w:pPr>
        <w:spacing w:line="240" w:lineRule="exact"/>
        <w:jc w:val="center"/>
        <w:rPr>
          <w:rFonts w:ascii="微软雅黑" w:eastAsia="微软雅黑" w:hAnsi="微软雅黑" w:cs="Arial" w:hint="eastAsia"/>
          <w:kern w:val="0"/>
          <w:sz w:val="22"/>
          <w:szCs w:val="22"/>
        </w:rPr>
      </w:pPr>
    </w:p>
    <w:p w:rsidR="00C330D9" w:rsidRPr="006423BB" w:rsidRDefault="00384814" w:rsidP="006423BB">
      <w:pPr>
        <w:spacing w:line="240" w:lineRule="exact"/>
        <w:ind w:leftChars="200" w:left="632" w:rightChars="200" w:right="632"/>
        <w:jc w:val="center"/>
        <w:rPr>
          <w:rFonts w:ascii="微软雅黑" w:eastAsia="微软雅黑" w:hAnsi="微软雅黑"/>
          <w:sz w:val="22"/>
          <w:szCs w:val="22"/>
        </w:rPr>
      </w:pPr>
      <w:r w:rsidRPr="006423BB">
        <w:rPr>
          <w:rFonts w:ascii="微软雅黑" w:eastAsia="微软雅黑" w:hAnsi="微软雅黑"/>
          <w:sz w:val="22"/>
          <w:szCs w:val="22"/>
        </w:rPr>
        <w:t>（2023年6月28日第十四届全国人民代表大会常务委员会第三次会议通过）</w:t>
      </w:r>
    </w:p>
    <w:p w:rsidR="00C330D9" w:rsidRPr="006423BB" w:rsidRDefault="00C330D9" w:rsidP="006423BB">
      <w:pPr>
        <w:spacing w:line="240" w:lineRule="exact"/>
        <w:rPr>
          <w:rFonts w:ascii="微软雅黑" w:eastAsia="微软雅黑" w:hAnsi="微软雅黑" w:cs="宋体"/>
          <w:sz w:val="22"/>
          <w:szCs w:val="22"/>
        </w:rPr>
      </w:pPr>
    </w:p>
    <w:p w:rsidR="00C330D9" w:rsidRPr="006423BB" w:rsidRDefault="00384814" w:rsidP="006423BB">
      <w:pPr>
        <w:spacing w:line="240" w:lineRule="exact"/>
        <w:jc w:val="center"/>
        <w:rPr>
          <w:rFonts w:ascii="微软雅黑" w:eastAsia="微软雅黑" w:hAnsi="微软雅黑" w:cs="楷体_GB2312"/>
          <w:sz w:val="22"/>
          <w:szCs w:val="22"/>
        </w:rPr>
      </w:pPr>
      <w:r w:rsidRPr="006423BB">
        <w:rPr>
          <w:rFonts w:ascii="微软雅黑" w:eastAsia="微软雅黑" w:hAnsi="微软雅黑" w:cs="楷体_GB2312"/>
          <w:sz w:val="22"/>
          <w:szCs w:val="22"/>
        </w:rPr>
        <w:t>目　　录</w:t>
      </w:r>
    </w:p>
    <w:p w:rsidR="00C330D9" w:rsidRPr="006423BB" w:rsidRDefault="00384814" w:rsidP="006423BB">
      <w:pPr>
        <w:spacing w:line="240" w:lineRule="exact"/>
        <w:ind w:firstLineChars="200" w:firstLine="432"/>
        <w:rPr>
          <w:rFonts w:ascii="微软雅黑" w:eastAsia="微软雅黑" w:hAnsi="微软雅黑" w:cs="楷体_GB2312"/>
          <w:sz w:val="22"/>
          <w:szCs w:val="22"/>
        </w:rPr>
      </w:pPr>
      <w:r w:rsidRPr="006423BB">
        <w:rPr>
          <w:rFonts w:ascii="微软雅黑" w:eastAsia="微软雅黑" w:hAnsi="微软雅黑" w:cs="楷体_GB2312"/>
          <w:sz w:val="22"/>
          <w:szCs w:val="22"/>
        </w:rPr>
        <w:t>第一章　总则</w:t>
      </w:r>
    </w:p>
    <w:p w:rsidR="00C330D9" w:rsidRPr="006423BB" w:rsidRDefault="00384814" w:rsidP="006423BB">
      <w:pPr>
        <w:spacing w:line="240" w:lineRule="exact"/>
        <w:ind w:firstLineChars="200" w:firstLine="432"/>
        <w:rPr>
          <w:rFonts w:ascii="微软雅黑" w:eastAsia="微软雅黑" w:hAnsi="微软雅黑" w:cs="楷体_GB2312"/>
          <w:sz w:val="22"/>
          <w:szCs w:val="22"/>
        </w:rPr>
      </w:pPr>
      <w:r w:rsidRPr="006423BB">
        <w:rPr>
          <w:rFonts w:ascii="微软雅黑" w:eastAsia="微软雅黑" w:hAnsi="微软雅黑" w:cs="楷体_GB2312" w:hint="eastAsia"/>
          <w:sz w:val="22"/>
          <w:szCs w:val="22"/>
        </w:rPr>
        <w:t>第二章　无障碍设施建设</w:t>
      </w:r>
    </w:p>
    <w:p w:rsidR="00C330D9" w:rsidRPr="006423BB" w:rsidRDefault="00384814" w:rsidP="006423BB">
      <w:pPr>
        <w:spacing w:line="240" w:lineRule="exact"/>
        <w:ind w:firstLineChars="200" w:firstLine="432"/>
        <w:rPr>
          <w:rFonts w:ascii="微软雅黑" w:eastAsia="微软雅黑" w:hAnsi="微软雅黑" w:cs="楷体_GB2312"/>
          <w:sz w:val="22"/>
          <w:szCs w:val="22"/>
        </w:rPr>
      </w:pPr>
      <w:r w:rsidRPr="006423BB">
        <w:rPr>
          <w:rFonts w:ascii="微软雅黑" w:eastAsia="微软雅黑" w:hAnsi="微软雅黑" w:cs="楷体_GB2312" w:hint="eastAsia"/>
          <w:sz w:val="22"/>
          <w:szCs w:val="22"/>
        </w:rPr>
        <w:t>第三章　无障碍信息交流</w:t>
      </w:r>
    </w:p>
    <w:p w:rsidR="00C330D9" w:rsidRPr="006423BB" w:rsidRDefault="00384814" w:rsidP="006423BB">
      <w:pPr>
        <w:spacing w:line="240" w:lineRule="exact"/>
        <w:ind w:firstLineChars="200" w:firstLine="432"/>
        <w:rPr>
          <w:rFonts w:ascii="微软雅黑" w:eastAsia="微软雅黑" w:hAnsi="微软雅黑" w:cs="楷体_GB2312"/>
          <w:sz w:val="22"/>
          <w:szCs w:val="22"/>
        </w:rPr>
      </w:pPr>
      <w:r w:rsidRPr="006423BB">
        <w:rPr>
          <w:rFonts w:ascii="微软雅黑" w:eastAsia="微软雅黑" w:hAnsi="微软雅黑" w:cs="楷体_GB2312" w:hint="eastAsia"/>
          <w:sz w:val="22"/>
          <w:szCs w:val="22"/>
        </w:rPr>
        <w:t>第四章　无障碍社会服务</w:t>
      </w:r>
    </w:p>
    <w:p w:rsidR="00C330D9" w:rsidRPr="006423BB" w:rsidRDefault="00384814" w:rsidP="006423BB">
      <w:pPr>
        <w:spacing w:line="240" w:lineRule="exact"/>
        <w:ind w:firstLineChars="200" w:firstLine="432"/>
        <w:rPr>
          <w:rFonts w:ascii="微软雅黑" w:eastAsia="微软雅黑" w:hAnsi="微软雅黑" w:cs="楷体_GB2312"/>
          <w:sz w:val="22"/>
          <w:szCs w:val="22"/>
        </w:rPr>
      </w:pPr>
      <w:r w:rsidRPr="006423BB">
        <w:rPr>
          <w:rFonts w:ascii="微软雅黑" w:eastAsia="微软雅黑" w:hAnsi="微软雅黑" w:cs="楷体_GB2312" w:hint="eastAsia"/>
          <w:sz w:val="22"/>
          <w:szCs w:val="22"/>
        </w:rPr>
        <w:t>第五章　保障措施</w:t>
      </w:r>
    </w:p>
    <w:p w:rsidR="00C330D9" w:rsidRPr="006423BB" w:rsidRDefault="00384814" w:rsidP="006423BB">
      <w:pPr>
        <w:spacing w:line="240" w:lineRule="exact"/>
        <w:ind w:firstLineChars="200" w:firstLine="432"/>
        <w:rPr>
          <w:rFonts w:ascii="微软雅黑" w:eastAsia="微软雅黑" w:hAnsi="微软雅黑" w:cs="楷体_GB2312"/>
          <w:sz w:val="22"/>
          <w:szCs w:val="22"/>
        </w:rPr>
      </w:pPr>
      <w:r w:rsidRPr="006423BB">
        <w:rPr>
          <w:rFonts w:ascii="微软雅黑" w:eastAsia="微软雅黑" w:hAnsi="微软雅黑" w:cs="楷体_GB2312" w:hint="eastAsia"/>
          <w:sz w:val="22"/>
          <w:szCs w:val="22"/>
        </w:rPr>
        <w:t>第六章　监督管理</w:t>
      </w:r>
    </w:p>
    <w:p w:rsidR="00C330D9" w:rsidRPr="006423BB" w:rsidRDefault="00384814" w:rsidP="006423BB">
      <w:pPr>
        <w:spacing w:line="240" w:lineRule="exact"/>
        <w:ind w:firstLineChars="200" w:firstLine="432"/>
        <w:rPr>
          <w:rFonts w:ascii="微软雅黑" w:eastAsia="微软雅黑" w:hAnsi="微软雅黑" w:cs="楷体_GB2312"/>
          <w:sz w:val="22"/>
          <w:szCs w:val="22"/>
        </w:rPr>
      </w:pPr>
      <w:r w:rsidRPr="006423BB">
        <w:rPr>
          <w:rFonts w:ascii="微软雅黑" w:eastAsia="微软雅黑" w:hAnsi="微软雅黑" w:cs="楷体_GB2312" w:hint="eastAsia"/>
          <w:sz w:val="22"/>
          <w:szCs w:val="22"/>
        </w:rPr>
        <w:t>第七章　法律责任</w:t>
      </w:r>
    </w:p>
    <w:p w:rsidR="00C330D9" w:rsidRPr="006423BB" w:rsidRDefault="00384814" w:rsidP="006423BB">
      <w:pPr>
        <w:spacing w:line="240" w:lineRule="exact"/>
        <w:ind w:firstLineChars="200" w:firstLine="432"/>
        <w:rPr>
          <w:rFonts w:ascii="微软雅黑" w:eastAsia="微软雅黑" w:hAnsi="微软雅黑"/>
          <w:sz w:val="22"/>
          <w:szCs w:val="22"/>
        </w:rPr>
      </w:pPr>
      <w:r w:rsidRPr="006423BB">
        <w:rPr>
          <w:rFonts w:ascii="微软雅黑" w:eastAsia="微软雅黑" w:hAnsi="微软雅黑" w:cs="楷体_GB2312" w:hint="eastAsia"/>
          <w:sz w:val="22"/>
          <w:szCs w:val="22"/>
        </w:rPr>
        <w:t>第八章　附则</w:t>
      </w:r>
    </w:p>
    <w:p w:rsidR="00C330D9" w:rsidRPr="008E0F64" w:rsidRDefault="00C330D9" w:rsidP="008E0F64">
      <w:pPr>
        <w:spacing w:line="340" w:lineRule="exact"/>
        <w:rPr>
          <w:rFonts w:ascii="微软雅黑" w:eastAsia="微软雅黑" w:hAnsi="微软雅黑" w:cs="宋体"/>
          <w:sz w:val="24"/>
        </w:rPr>
      </w:pPr>
    </w:p>
    <w:p w:rsidR="00C330D9" w:rsidRPr="008E0F64" w:rsidRDefault="00384814" w:rsidP="008E0F64">
      <w:pPr>
        <w:spacing w:line="340" w:lineRule="exact"/>
        <w:jc w:val="center"/>
        <w:rPr>
          <w:rFonts w:ascii="微软雅黑" w:eastAsia="微软雅黑" w:hAnsi="微软雅黑" w:cs="黑体"/>
          <w:sz w:val="24"/>
        </w:rPr>
      </w:pPr>
      <w:r w:rsidRPr="008E0F64">
        <w:rPr>
          <w:rFonts w:ascii="微软雅黑" w:eastAsia="微软雅黑" w:hAnsi="微软雅黑" w:cs="黑体" w:hint="eastAsia"/>
          <w:sz w:val="24"/>
        </w:rPr>
        <w:t>第一章　总则</w:t>
      </w:r>
    </w:p>
    <w:p w:rsidR="00C330D9" w:rsidRPr="008E0F64" w:rsidRDefault="00C330D9" w:rsidP="008E0F64">
      <w:pPr>
        <w:spacing w:line="340" w:lineRule="exact"/>
        <w:jc w:val="center"/>
        <w:rPr>
          <w:rFonts w:ascii="微软雅黑" w:eastAsia="微软雅黑" w:hAnsi="微软雅黑" w:cs="仿宋_GB2312"/>
          <w:sz w:val="24"/>
        </w:rPr>
      </w:pP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第一条</w:t>
      </w:r>
      <w:r w:rsidRPr="008E0F64">
        <w:rPr>
          <w:rFonts w:ascii="微软雅黑" w:eastAsia="微软雅黑" w:hAnsi="微软雅黑" w:hint="eastAsia"/>
          <w:sz w:val="24"/>
        </w:rPr>
        <w:t xml:space="preserve">　为了加强无障碍环境建设，保障残疾人、老年人平等、充分、便捷地参与和融入社会生活，促进社会全体人员共享经济社会发展成果，弘扬社会主义核心价值观，根据宪法和有关法律，制定本法。</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第二条</w:t>
      </w:r>
      <w:r w:rsidRPr="008E0F64">
        <w:rPr>
          <w:rFonts w:ascii="微软雅黑" w:eastAsia="微软雅黑" w:hAnsi="微软雅黑" w:hint="eastAsia"/>
          <w:sz w:val="24"/>
        </w:rPr>
        <w:t xml:space="preserve">　国家采取措施推进无障碍环境建设，为残疾人、老年人自主安全地通行道路、出入建筑物以及使用其附属设施、搭乘公共交通运输工具，获取、使用和交流信息，获得社会服务等提供便利。</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hint="eastAsia"/>
          <w:sz w:val="24"/>
        </w:rPr>
        <w:t>残疾人、老年人之外的其他人有无障碍需求的，可以享受无障碍环境便利。</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第三条</w:t>
      </w:r>
      <w:r w:rsidRPr="008E0F64">
        <w:rPr>
          <w:rFonts w:ascii="微软雅黑" w:eastAsia="微软雅黑" w:hAnsi="微软雅黑" w:hint="eastAsia"/>
          <w:sz w:val="24"/>
        </w:rPr>
        <w:t xml:space="preserve">　无障碍环境建设应当坚持中国共产党的领导，发挥政府主导作用，调动市场主体积极性，引导社会组织和公众广泛参与，推动全社会共建共治共享。</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第四条</w:t>
      </w:r>
      <w:r w:rsidRPr="008E0F64">
        <w:rPr>
          <w:rFonts w:ascii="微软雅黑" w:eastAsia="微软雅黑" w:hAnsi="微软雅黑" w:hint="eastAsia"/>
          <w:sz w:val="24"/>
        </w:rPr>
        <w:t xml:space="preserve">　无障碍环境建设应当与适老化改造相结合，遵循安全便利、实用易行、广泛受益的原则。</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第五条</w:t>
      </w:r>
      <w:r w:rsidRPr="008E0F64">
        <w:rPr>
          <w:rFonts w:ascii="微软雅黑" w:eastAsia="微软雅黑" w:hAnsi="微软雅黑" w:hint="eastAsia"/>
          <w:sz w:val="24"/>
        </w:rPr>
        <w:t xml:space="preserve">　无障碍环境建设应当与经济社会发展水平相适应，统筹城镇和农村发展，逐步缩小城乡无障碍环境建设的差距。</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第六条</w:t>
      </w:r>
      <w:r w:rsidRPr="008E0F64">
        <w:rPr>
          <w:rFonts w:ascii="微软雅黑" w:eastAsia="微软雅黑" w:hAnsi="微软雅黑" w:hint="eastAsia"/>
          <w:sz w:val="24"/>
        </w:rPr>
        <w:t xml:space="preserve">　县级以上人民政府应当将无障碍环境建设纳入国民经济和社会发展规划，将所需经费纳入本级预算，建立稳定的经费保障机制。</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第七条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县级以上人民政府应当统筹协调和督促指导有关部门在各自职责范围内做好无障碍环境建设工作。</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hint="eastAsia"/>
          <w:sz w:val="24"/>
        </w:rPr>
        <w:t>县级以上人民政府住房和城乡建设、民政、工业和信息化、交通运输、自然资源、文化和旅游、教育、卫生健康等部门应当在各自职责范围内，开展无障碍环境建设工作。</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hint="eastAsia"/>
          <w:sz w:val="24"/>
        </w:rPr>
        <w:t>乡镇人民政府、街道办事处应当协助有关部门做好无障碍环境建设工作。</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第八条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残疾人联合会、老龄协会等组织依照法律、法规以及各自章程，协助各级人民政府及其有关部门做好无障碍环境建设工作。</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第九条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制定或者修改涉及无障碍环境建设的法律、法规、规章、规划和其他规范性文件，应当征求残疾人、老年人代表以及残疾人联合会、老龄协会等组织的意见。</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第十条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国家鼓励和支持企业事业单位、社会组织、个人等社会力量，通过捐赠、志愿服务等方式参与无障碍环境建设。</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hint="eastAsia"/>
          <w:sz w:val="24"/>
        </w:rPr>
        <w:t>国家支持开展无障碍环境建设工作的国际交流与合作。</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第十一条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对在无障碍环境建设工作中做出显著成绩的单位和个人，按照国家有关规定给予表彰和奖励。</w:t>
      </w:r>
    </w:p>
    <w:p w:rsidR="00C330D9" w:rsidRPr="008E0F64" w:rsidRDefault="00C330D9" w:rsidP="008E0F64">
      <w:pPr>
        <w:spacing w:line="340" w:lineRule="exact"/>
        <w:ind w:firstLineChars="200" w:firstLine="472"/>
        <w:rPr>
          <w:rFonts w:ascii="微软雅黑" w:eastAsia="微软雅黑" w:hAnsi="微软雅黑"/>
          <w:sz w:val="24"/>
        </w:rPr>
      </w:pPr>
    </w:p>
    <w:p w:rsidR="00C330D9" w:rsidRPr="008E0F64" w:rsidRDefault="00384814" w:rsidP="008E0F64">
      <w:pPr>
        <w:spacing w:line="340" w:lineRule="exact"/>
        <w:jc w:val="center"/>
        <w:rPr>
          <w:rFonts w:ascii="微软雅黑" w:eastAsia="微软雅黑" w:hAnsi="微软雅黑" w:cs="黑体"/>
          <w:sz w:val="24"/>
        </w:rPr>
      </w:pPr>
      <w:r w:rsidRPr="008E0F64">
        <w:rPr>
          <w:rFonts w:ascii="微软雅黑" w:eastAsia="微软雅黑" w:hAnsi="微软雅黑" w:cs="黑体" w:hint="eastAsia"/>
          <w:sz w:val="24"/>
        </w:rPr>
        <w:t>第二章</w:t>
      </w:r>
      <w:r w:rsidRPr="008E0F64">
        <w:rPr>
          <w:rFonts w:ascii="微软雅黑" w:eastAsia="微软雅黑" w:hAnsi="微软雅黑" w:cs="黑体"/>
          <w:sz w:val="24"/>
        </w:rPr>
        <w:t xml:space="preserve">　</w:t>
      </w:r>
      <w:r w:rsidRPr="008E0F64">
        <w:rPr>
          <w:rFonts w:ascii="微软雅黑" w:eastAsia="微软雅黑" w:hAnsi="微软雅黑" w:cs="黑体" w:hint="eastAsia"/>
          <w:sz w:val="24"/>
        </w:rPr>
        <w:t>无障碍设施建设</w:t>
      </w:r>
    </w:p>
    <w:p w:rsidR="00C330D9" w:rsidRPr="008E0F64" w:rsidRDefault="00C330D9" w:rsidP="008E0F64">
      <w:pPr>
        <w:spacing w:line="340" w:lineRule="exact"/>
        <w:jc w:val="center"/>
        <w:rPr>
          <w:rFonts w:ascii="微软雅黑" w:eastAsia="微软雅黑" w:hAnsi="微软雅黑" w:cs="仿宋_GB2312"/>
          <w:sz w:val="24"/>
        </w:rPr>
      </w:pP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第十二条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新建、改建、扩建的居住建筑、居住区、公共建筑、公共场所、交通运输设施、城乡道路等，应当符合无障碍设施工程建设标准。</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hint="eastAsia"/>
          <w:sz w:val="24"/>
        </w:rPr>
        <w:t>无障碍设施应当与主体工程同步规划、同步设计、同步施工、同步验收、同步交付使用，并与周边的无障碍设施有效衔接、实现贯通。</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hint="eastAsia"/>
          <w:sz w:val="24"/>
        </w:rPr>
        <w:t>无障碍设施应当设置符合标准的无障碍标识，并纳入周边环境或者建筑物内部的引导标识系统。</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第十三条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国家鼓励工程建设、设计、施工等单位采用先进的理念和技术，建设人性化、系统化、智能化并与周边环境相协调的无障碍设施。</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第十四条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工程建设单位应当将无障碍设施建设经费纳入工程建设项目概预算。</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hint="eastAsia"/>
          <w:sz w:val="24"/>
        </w:rPr>
        <w:t>工程建设单位不得明示或者暗示设计、施工单位违反无障碍设施工程建设标准；不得擅自将未经验收或者验收不合格的无障碍设施交付使用。</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第十五条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工程设计单位应当按照无障碍设施工程建设标准进行设计。</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hint="eastAsia"/>
          <w:sz w:val="24"/>
        </w:rPr>
        <w:t>依法需要进行施工图设计文件审查的，施工图审查机构应当按照法律、法规和无障碍设施工程建设标准，对无障碍设施设计内容进行审查；不符合有关规定的，不予审查通过。</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第十六条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工程施工、监理单位应当按照施工图设计文件以及相关标准进行无障碍设施施工和监理。</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hint="eastAsia"/>
          <w:sz w:val="24"/>
        </w:rPr>
        <w:t>住房和城乡建设等主管部门对未按照法律、法规和无障碍设施工程建设标准开展无障碍设施验收或者验收不合格的，不予办理竣工验收备案手续。</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第十七条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国家鼓励工程建设单位在新建、改建、扩建建设项目的规划、设计和竣工验收等环节，邀请残疾人、老年人代表以及残疾人联合会、老龄协会等组织，参加意见征询和体验试用等活动。</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第十八条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对既有的不符合无障碍设施工程建设标准的居住建筑、居住区、公共建筑、公共场所、交通运输设施、城乡道路等，县级以上人民政府应当根据实际情况，制定有针对性的无障碍设施改造计划并组织实施。</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hint="eastAsia"/>
          <w:sz w:val="24"/>
        </w:rPr>
        <w:t>无障碍设施改造由所有权人或者管理人负责。所有权人、管理人和使用人之间约定改造责任的，由约定的责任人负责。</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hint="eastAsia"/>
          <w:sz w:val="24"/>
        </w:rPr>
        <w:t>不具备无障碍设施改造条件的，责任人应当采取必要的替代性措施。</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第十九条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县级以上人民政府应当支持、指导家庭无障碍设施改造。对符合条件的残疾人、老年人家庭应当给予适当补贴。</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hint="eastAsia"/>
          <w:sz w:val="24"/>
        </w:rPr>
        <w:t>居民委员会、村民委员会、居住区管理服务单位以及业主委员会应当支持并配合家庭无障碍设施改造。</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第二十条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残疾人集中就业单位应当按照有关标准和要求，建设和改造无障碍设施。</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hint="eastAsia"/>
          <w:sz w:val="24"/>
        </w:rPr>
        <w:t>国家鼓励和支持用人单位开展就业场所无障碍设施建设和改造，为残疾人职工提供必要的劳动条件和便利。</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第二十一条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新建、改建、扩建公共建筑、公共场所、交通运输设施以及居住区的公共服务设施，应当按照无障碍设施工程建设标准，配套建设无障碍设施；既有的上述建筑、场所和设施不符合无障碍设施工程建设标准的，应当进行必要的改造。</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第二十二条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国家支持城镇老旧小区既有多层住宅加装电梯或者其他无障碍设施，为残疾人、老年人提供便利。</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hint="eastAsia"/>
          <w:sz w:val="24"/>
        </w:rPr>
        <w:t>县级以上人民政府及其有关部门应当采取措施、创造条件，并发挥社区基层组织作用，推动既有多层住宅加装电梯或者其他无障碍设施。</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hint="eastAsia"/>
          <w:sz w:val="24"/>
        </w:rPr>
        <w:t>房屋所有权人应当弘扬中华民族与邻为善、守望相助等传统美德，加强沟通协商，依法配合既有多层住宅加装电梯或者其他无障碍设施。</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第二十三条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新建、改建、扩建和具备改造条件的城市主干路、主要商业区和大型居住区的人行天桥和人行地下通道，应当按照无障碍设施工程建设标准，建设或者改造无障碍设施。</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hint="eastAsia"/>
          <w:sz w:val="24"/>
        </w:rPr>
        <w:lastRenderedPageBreak/>
        <w:t>城市主干路、主要商业区等无障碍需求比较集中的区域的人行道，应当按照标准设置盲道；城市中心区、残疾人集中就业单位和集中就读学校周边的人行横道的交通信号设施，应当按照标准安装过街音响提示装置。</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第二十四条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停车场应当按照无障碍设施工程建设标准，设置无障碍停车位，并设置显著标志标识。</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hint="eastAsia"/>
          <w:sz w:val="24"/>
        </w:rPr>
        <w:t>无障碍停车位优先供肢体残疾人驾驶或者乘坐的机动车使用。优先使用无障碍停车位的，应当在显著位置放置残疾人车辆专用标志或者提供残疾人证。</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hint="eastAsia"/>
          <w:sz w:val="24"/>
        </w:rPr>
        <w:t>在无障碍停车位充足的情况下，其他行动不便的残疾人、老年人、孕妇、婴幼儿等驾驶或者乘坐的机动车也可以使用。</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第二十五条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新投入运营的民用航空器、客运列车、客运船舶、公共汽电车、城市轨道交通车辆等公共交通运输工具，应当确保一定比例符合无障碍标准。</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hint="eastAsia"/>
          <w:sz w:val="24"/>
        </w:rPr>
        <w:t>既有公共交通运输工具具备改造条件的，应当进行无障碍改造，逐步符合无障碍标准的要求；不具备改造条件的，公共交通运输工具的运营单位应当采取必要的替代性措施。</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hint="eastAsia"/>
          <w:sz w:val="24"/>
        </w:rPr>
        <w:t>县级以上地方人民政府根据当地情况，逐步建立城市无障碍公交导乘系统，规划配置适量的无障碍出租汽车。</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第二十六条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无障碍设施所有权人或者管理人应当对无障碍设施履行以下维护和管理责任，保障无障碍设施功能正常和使用安全：</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hint="eastAsia"/>
          <w:sz w:val="24"/>
        </w:rPr>
        <w:t>（一）对损坏的无障碍设施和标识进行维修或者替换；</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hint="eastAsia"/>
          <w:sz w:val="24"/>
        </w:rPr>
        <w:t>（二）对需改造的无障碍设施进行改造；</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hint="eastAsia"/>
          <w:sz w:val="24"/>
        </w:rPr>
        <w:t>（三）纠正占用无障碍设施的行为；</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hint="eastAsia"/>
          <w:sz w:val="24"/>
        </w:rPr>
        <w:t>（四）进行其他必要的维护和保养。</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hint="eastAsia"/>
          <w:sz w:val="24"/>
        </w:rPr>
        <w:t>所有权人、管理人和使用人之间有约定的，由约定的责任人负责维护和管理。</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第二十七条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因特殊情况设置的临时无障碍设施，应当符合无障碍设施工程建设标准。</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第二十八条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任何单位和个人不得擅自改变无障碍设施的用途或者非法占用、损坏无障碍设施。</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hint="eastAsia"/>
          <w:sz w:val="24"/>
        </w:rPr>
        <w:t>因特殊情况临时占用无障碍设施的，应当公告并设置护栏、警示标志或者信号设施，同时采取必要的替代性措施。临时占用期满，应当及时恢复原状。</w:t>
      </w:r>
    </w:p>
    <w:p w:rsidR="00C330D9" w:rsidRPr="008E0F64" w:rsidRDefault="00C330D9" w:rsidP="008E0F64">
      <w:pPr>
        <w:spacing w:line="340" w:lineRule="exact"/>
        <w:ind w:firstLineChars="200" w:firstLine="472"/>
        <w:rPr>
          <w:rFonts w:ascii="微软雅黑" w:eastAsia="微软雅黑" w:hAnsi="微软雅黑"/>
          <w:sz w:val="24"/>
        </w:rPr>
      </w:pPr>
    </w:p>
    <w:p w:rsidR="00C330D9" w:rsidRPr="008E0F64" w:rsidRDefault="00384814" w:rsidP="008E0F64">
      <w:pPr>
        <w:spacing w:line="340" w:lineRule="exact"/>
        <w:jc w:val="center"/>
        <w:rPr>
          <w:rFonts w:ascii="微软雅黑" w:eastAsia="微软雅黑" w:hAnsi="微软雅黑" w:cs="黑体"/>
          <w:sz w:val="24"/>
        </w:rPr>
      </w:pPr>
      <w:r w:rsidRPr="008E0F64">
        <w:rPr>
          <w:rFonts w:ascii="微软雅黑" w:eastAsia="微软雅黑" w:hAnsi="微软雅黑" w:cs="黑体" w:hint="eastAsia"/>
          <w:sz w:val="24"/>
        </w:rPr>
        <w:t>第三章</w:t>
      </w:r>
      <w:r w:rsidRPr="008E0F64">
        <w:rPr>
          <w:rFonts w:ascii="微软雅黑" w:eastAsia="微软雅黑" w:hAnsi="微软雅黑" w:cs="黑体"/>
          <w:sz w:val="24"/>
        </w:rPr>
        <w:t xml:space="preserve">　</w:t>
      </w:r>
      <w:r w:rsidRPr="008E0F64">
        <w:rPr>
          <w:rFonts w:ascii="微软雅黑" w:eastAsia="微软雅黑" w:hAnsi="微软雅黑" w:cs="黑体" w:hint="eastAsia"/>
          <w:sz w:val="24"/>
        </w:rPr>
        <w:t>无障碍信息交流</w:t>
      </w:r>
    </w:p>
    <w:p w:rsidR="00C330D9" w:rsidRPr="008E0F64" w:rsidRDefault="00C330D9" w:rsidP="008E0F64">
      <w:pPr>
        <w:spacing w:line="340" w:lineRule="exact"/>
        <w:jc w:val="center"/>
        <w:rPr>
          <w:rFonts w:ascii="微软雅黑" w:eastAsia="微软雅黑" w:hAnsi="微软雅黑" w:cs="仿宋_GB2312"/>
          <w:sz w:val="24"/>
        </w:rPr>
      </w:pP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第二十九条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各级人民政府及其有关部门应当为残疾人、老年人获取公共信息提供便利；发布涉及自然灾害、事故灾难、公共卫生事件、社会安全事件等突发事件信息时，条件具备的同步采取语音、大字、盲文、手语等无障碍信息交流方式。</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第三十条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利用财政资金设立的电视台应当在播出电视节目时配备同步字幕，条件具备的每天至少播放一次配播手语的新闻节目，并逐步扩大配播手语的节目范围。</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hint="eastAsia"/>
          <w:sz w:val="24"/>
        </w:rPr>
        <w:t>国家鼓励公开出版发行的影视类录像制品、网络视频节目加配字幕、手语或者口述音轨。</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第三十一条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国家鼓励公开出版发行的图书、报刊配备有声、大字、盲文、电子等无障碍格式版本，方便残疾人、老年人阅读。</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hint="eastAsia"/>
          <w:sz w:val="24"/>
        </w:rPr>
        <w:t>国家鼓励教材编写、出版单位根据不同教育阶段实际，编写、出版盲文版、低视力</w:t>
      </w:r>
      <w:proofErr w:type="gramStart"/>
      <w:r w:rsidRPr="008E0F64">
        <w:rPr>
          <w:rFonts w:ascii="微软雅黑" w:eastAsia="微软雅黑" w:hAnsi="微软雅黑" w:hint="eastAsia"/>
          <w:sz w:val="24"/>
        </w:rPr>
        <w:t>版教学</w:t>
      </w:r>
      <w:proofErr w:type="gramEnd"/>
      <w:r w:rsidRPr="008E0F64">
        <w:rPr>
          <w:rFonts w:ascii="微软雅黑" w:eastAsia="微软雅黑" w:hAnsi="微软雅黑" w:hint="eastAsia"/>
          <w:sz w:val="24"/>
        </w:rPr>
        <w:t>用书，满足盲人和其他有视力障碍的学生的学习需求。</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第三十二条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利用财政资金建立的互联网网站、服务平台、移动互联网应用程序，应当逐步符合无障碍网站设计标准和国家信息无障碍标准。</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hint="eastAsia"/>
          <w:sz w:val="24"/>
        </w:rPr>
        <w:t>国家鼓励新闻资讯、社交通讯、生活购物、医疗健康、金融服务、学习教育、交通出行等领域的互联网网站、移动互联网应用程序，逐步符合无障碍网站设计标准和国家信息无障碍标准。</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hint="eastAsia"/>
          <w:sz w:val="24"/>
        </w:rPr>
        <w:t>国家鼓励地图导航定位产品逐步完善无障碍设施的标识和无障碍出行路线导航功能。</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lastRenderedPageBreak/>
        <w:t>第三十三条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音视频以及多媒体设备、移动智能终端设备、电信终端设备制造者提供的产品，应当逐步具备语音、大字等无障碍功能。</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hint="eastAsia"/>
          <w:sz w:val="24"/>
        </w:rPr>
        <w:t>银行、医院、城市轨道交通车站、民用运输机场航站区、客运站、客运码头、大型景区等的自助公共服务终端设备，应当具备语音、大字、盲文等无障碍功能。</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第三十四条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电信业务经营者提供基础电信服务时，应当为残疾人、老年人提供必要的语音、大字信息服务或者人工服务。</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第三十五条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政务服务便民热线和报警求助、消防应急、交通事故、医疗急救等紧急呼叫系统，应当逐步具备语音、大字、盲文、一键呼叫等无障碍功能。</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第三十六条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提供公共文化服务的图书馆、博物馆、文化馆、科技馆等应当考虑残疾人、老年人的特点，积极创造条件，提供适合其需要的文献信息、无障碍设施设备和服务等。</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第三十七条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国务院有关部门应当完善药品标签、说明书的管理规范，要求药品生产经营者提供语音、大字、盲文、电子等无障碍格式版本的标签、说明书。</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hint="eastAsia"/>
          <w:sz w:val="24"/>
        </w:rPr>
        <w:t>国家鼓励其他商品的生产经营者提供语音、大字、盲文、电子等无障碍格式版本的标签、说明书，方便残疾人、老年人识别和使用。</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第三十八条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国家推广和使用国家通用手语、国家通用盲文。</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hint="eastAsia"/>
          <w:sz w:val="24"/>
        </w:rPr>
        <w:t>基本公共服务使用手语、盲文以及各类学校开展手语、盲文教育教学时，应当采用国家通用手语、国家通用盲文。</w:t>
      </w:r>
    </w:p>
    <w:p w:rsidR="00C330D9" w:rsidRPr="008E0F64" w:rsidRDefault="00C330D9" w:rsidP="008E0F64">
      <w:pPr>
        <w:spacing w:line="340" w:lineRule="exact"/>
        <w:ind w:firstLineChars="200" w:firstLine="472"/>
        <w:rPr>
          <w:rFonts w:ascii="微软雅黑" w:eastAsia="微软雅黑" w:hAnsi="微软雅黑"/>
          <w:sz w:val="24"/>
        </w:rPr>
      </w:pPr>
    </w:p>
    <w:p w:rsidR="00C330D9" w:rsidRPr="008E0F64" w:rsidRDefault="00384814" w:rsidP="008E0F64">
      <w:pPr>
        <w:spacing w:line="340" w:lineRule="exact"/>
        <w:jc w:val="center"/>
        <w:rPr>
          <w:rFonts w:ascii="微软雅黑" w:eastAsia="微软雅黑" w:hAnsi="微软雅黑" w:cs="黑体"/>
          <w:sz w:val="24"/>
        </w:rPr>
      </w:pPr>
      <w:r w:rsidRPr="008E0F64">
        <w:rPr>
          <w:rFonts w:ascii="微软雅黑" w:eastAsia="微软雅黑" w:hAnsi="微软雅黑" w:cs="黑体" w:hint="eastAsia"/>
          <w:sz w:val="24"/>
        </w:rPr>
        <w:t>第四章</w:t>
      </w:r>
      <w:r w:rsidRPr="008E0F64">
        <w:rPr>
          <w:rFonts w:ascii="微软雅黑" w:eastAsia="微软雅黑" w:hAnsi="微软雅黑" w:cs="黑体"/>
          <w:sz w:val="24"/>
        </w:rPr>
        <w:t xml:space="preserve">　</w:t>
      </w:r>
      <w:r w:rsidRPr="008E0F64">
        <w:rPr>
          <w:rFonts w:ascii="微软雅黑" w:eastAsia="微软雅黑" w:hAnsi="微软雅黑" w:cs="黑体" w:hint="eastAsia"/>
          <w:sz w:val="24"/>
        </w:rPr>
        <w:t>无障碍社会服务</w:t>
      </w:r>
    </w:p>
    <w:p w:rsidR="00C330D9" w:rsidRPr="008E0F64" w:rsidRDefault="00C330D9" w:rsidP="008E0F64">
      <w:pPr>
        <w:spacing w:line="340" w:lineRule="exact"/>
        <w:ind w:firstLineChars="200" w:firstLine="472"/>
        <w:rPr>
          <w:rFonts w:ascii="微软雅黑" w:eastAsia="微软雅黑" w:hAnsi="微软雅黑"/>
          <w:sz w:val="24"/>
        </w:rPr>
      </w:pP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第三十九条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公共服务场所应当配备必要的无障碍设备和辅助器具，标注指引无障碍设施，为残疾人、老年人提供无障碍服务。</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hint="eastAsia"/>
          <w:sz w:val="24"/>
        </w:rPr>
        <w:t>公共服务场所涉及医疗健康、社会保障、金融业务、生活缴费等服务事项的，应当保留现场指导、人工办理等传统服务方式。</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第四十条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行政服务机构、社区服务机构以及供水、供电、供气、供热等公共服务机构，应当设置低位服务台或者无障碍服务窗口，配备电子信息显示屏、手写板、语音提示等设备，为残疾人、老年人提供无障碍服务。</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第四十一条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司法机关、仲裁机构、法律援助机构应当依法为残疾人、老年人参加诉讼、仲裁活动和获得法律援助提供无障碍服务。</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hint="eastAsia"/>
          <w:sz w:val="24"/>
        </w:rPr>
        <w:t>国家鼓励律师事务所、公证机构、司法鉴定机构、基层法律服务所等法律服务机构，结合所提供的服务内容提供无障碍服务。</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第四十二条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交通运输设施和公共交通运输工具的运营单位应当根据各类运输方式的服务特点，结合设施设备条件和所提供的服务内容，为残疾人、老年人设置无障碍服务窗口、专用等候区域、绿色通道和优先坐席，提供辅助器具、咨询引导、字幕报站、语音提示、预约定制等无障碍服务。</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第四十三条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教育行政部门和教育机构应当加强教育场所的无障碍环境建设，为有残疾的师生、员工提供无障碍服务。</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hint="eastAsia"/>
          <w:sz w:val="24"/>
        </w:rPr>
        <w:t>国家举办的教育考试、职业资格考试、技术技能考试、招录招聘考试以及各类学校组织的统一考试，应当为有残疾的考生提供便利服务。</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第四十四条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医疗卫生机构应当结合所提供的服务内容，为残疾人、老年人就医提供便利。</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hint="eastAsia"/>
          <w:sz w:val="24"/>
        </w:rPr>
        <w:t>与残疾人、老年人相关的服务机构应当配备无障碍设备，在生活照料、康复护理等方面提供无障碍服务。</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第四十五条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国家鼓励文化、旅游、体育、金融、邮政、电信、交通、商业、餐饮、住宿、物业管理等服务场所结合所提供的服务内容，为残疾人、老年人提供辅助器具、咨询引导等无障碍服务。</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hint="eastAsia"/>
          <w:sz w:val="24"/>
        </w:rPr>
        <w:t>国家鼓励邮政、快递企业为行动不便的残疾人、老年人提供上门收寄服务。</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lastRenderedPageBreak/>
        <w:t>第四十六条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公共场所经营管理单位、交通运输设施和公共交通运输工具的运营单位应当为残疾人携带导盲犬、导听犬、辅助犬等服务犬提供便利。</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hint="eastAsia"/>
          <w:sz w:val="24"/>
        </w:rPr>
        <w:t>残疾人携带服务犬出入公共场所、使用交通运输设施和公共交通运输工具的，应当遵守国家有关规定，为服务犬佩戴明显识别装备，并采取必要的防护措施。</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第四十七条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应急避难场所的管理人在制定以及实施工作预案时，应当考虑残疾人、老年人的无障碍需求，视情况设置语音、大字、闪光等提示装置，完善无障碍服务功能。</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第四十八条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组织选举的部门和单位应当采取措施，为残疾人、老年人选民参加投票提供便利和必要协助。</w:t>
      </w:r>
    </w:p>
    <w:p w:rsidR="00C330D9" w:rsidRPr="008E0F64" w:rsidRDefault="00384814" w:rsidP="008E0F64">
      <w:pPr>
        <w:spacing w:line="340" w:lineRule="exact"/>
        <w:ind w:firstLineChars="200" w:firstLine="472"/>
        <w:rPr>
          <w:rFonts w:ascii="微软雅黑" w:eastAsia="微软雅黑" w:hAnsi="微软雅黑" w:hint="eastAsia"/>
          <w:sz w:val="24"/>
        </w:rPr>
      </w:pPr>
      <w:r w:rsidRPr="008E0F64">
        <w:rPr>
          <w:rFonts w:ascii="微软雅黑" w:eastAsia="微软雅黑" w:hAnsi="微软雅黑" w:cs="黑体" w:hint="eastAsia"/>
          <w:sz w:val="24"/>
        </w:rPr>
        <w:t>第四十九条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国家鼓励和支持无障碍信息服务平台建设，为残疾人、老年人提供远程实时无障碍信息服务。</w:t>
      </w:r>
    </w:p>
    <w:p w:rsidR="00C330D9" w:rsidRPr="008E0F64" w:rsidRDefault="00384814" w:rsidP="008E0F64">
      <w:pPr>
        <w:spacing w:line="340" w:lineRule="exact"/>
        <w:jc w:val="center"/>
        <w:rPr>
          <w:rFonts w:ascii="微软雅黑" w:eastAsia="微软雅黑" w:hAnsi="微软雅黑" w:cs="黑体"/>
          <w:sz w:val="24"/>
        </w:rPr>
      </w:pPr>
      <w:r w:rsidRPr="008E0F64">
        <w:rPr>
          <w:rFonts w:ascii="微软雅黑" w:eastAsia="微软雅黑" w:hAnsi="微软雅黑" w:cs="黑体" w:hint="eastAsia"/>
          <w:sz w:val="24"/>
        </w:rPr>
        <w:t>第五章</w:t>
      </w:r>
      <w:r w:rsidRPr="008E0F64">
        <w:rPr>
          <w:rFonts w:ascii="微软雅黑" w:eastAsia="微软雅黑" w:hAnsi="微软雅黑" w:cs="黑体"/>
          <w:sz w:val="24"/>
        </w:rPr>
        <w:t xml:space="preserve">　</w:t>
      </w:r>
      <w:r w:rsidRPr="008E0F64">
        <w:rPr>
          <w:rFonts w:ascii="微软雅黑" w:eastAsia="微软雅黑" w:hAnsi="微软雅黑" w:cs="黑体" w:hint="eastAsia"/>
          <w:sz w:val="24"/>
        </w:rPr>
        <w:t>保障措施</w:t>
      </w:r>
    </w:p>
    <w:p w:rsidR="00C330D9" w:rsidRPr="008E0F64" w:rsidRDefault="00C330D9" w:rsidP="008E0F64">
      <w:pPr>
        <w:spacing w:line="340" w:lineRule="exact"/>
        <w:ind w:firstLineChars="200" w:firstLine="472"/>
        <w:rPr>
          <w:rFonts w:ascii="微软雅黑" w:eastAsia="微软雅黑" w:hAnsi="微软雅黑"/>
          <w:sz w:val="24"/>
        </w:rPr>
      </w:pP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第五十条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国家开展无障碍环境理念的宣传教育，普及无障碍环境知识，传播无障碍环境文化，提升全社会的无障碍环境意识。</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hint="eastAsia"/>
          <w:sz w:val="24"/>
        </w:rPr>
        <w:t>新闻媒体应当积极开展无障碍环境建设方面的公益宣传。</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第五十一条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国家推广通用设计理念，建立健全国家标准、行业标准、地方标准，鼓励发展具有引领性的团体标准、企业标准，加强标准之间的衔接配合，构建无障碍环境建设标准体系。</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hint="eastAsia"/>
          <w:sz w:val="24"/>
        </w:rPr>
        <w:t>地方结合本地实际制定的地方标准不得低于国家标准的相关技术要求。</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第五十二条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制定或者修改涉及无障碍环境建设的标准，应当征求残疾人、老年人代表以及残疾人联合会、老龄协会等组织的意见。残疾人联合会、老龄协会等组织可以依法提出制定或者修改无障碍环境建设标准的建议。</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第五十三条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国家建立健全无障碍设计、设施、产品、服务的认证和无障碍信息的评测制度，并推动结果采信应用。</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第五十四条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国家通过经费支持、政府采购、税收优惠等方式，促进新科技成果在无障碍环境建设中的运用，鼓励无障碍技术、产品和服务的研发、生产、应用和推广，支持无障碍设施、信息和服务的融合发展。</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第五十五条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国家建立无障碍环境建设相关领域人才培养机制。</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hint="eastAsia"/>
          <w:sz w:val="24"/>
        </w:rPr>
        <w:t>国家鼓励高等学校、中等职业学校等开设无障碍环境建设相关专业和课程，开展无障碍环境建设理论研究、国际交流和实践活动。</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hint="eastAsia"/>
          <w:sz w:val="24"/>
        </w:rPr>
        <w:t>建筑、交通运输、计算机科学与技术等相关学科专业应当增加无障碍环境建设的教学和实践内容，相关领域职业资格、继续教育以及其他培训的考试内容应当包括无障碍环境建设知识。</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第五十六条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国家鼓励机关、企业事业单位、社会团体以及其他社会组织，对工作人员进行无障碍服务知识与技能培训。</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第五十七条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文明城市、文明村镇、文明单位、文明社区、文明校园等创建活动，应当将无障碍环境建设情况作为重要内容。</w:t>
      </w:r>
    </w:p>
    <w:p w:rsidR="00C330D9" w:rsidRPr="008E0F64" w:rsidRDefault="00C330D9" w:rsidP="008E0F64">
      <w:pPr>
        <w:spacing w:line="340" w:lineRule="exact"/>
        <w:ind w:firstLineChars="200" w:firstLine="472"/>
        <w:rPr>
          <w:rFonts w:ascii="微软雅黑" w:eastAsia="微软雅黑" w:hAnsi="微软雅黑"/>
          <w:sz w:val="24"/>
        </w:rPr>
      </w:pPr>
    </w:p>
    <w:p w:rsidR="00C330D9" w:rsidRPr="008E0F64" w:rsidRDefault="00384814" w:rsidP="008E0F64">
      <w:pPr>
        <w:spacing w:line="340" w:lineRule="exact"/>
        <w:jc w:val="center"/>
        <w:rPr>
          <w:rFonts w:ascii="微软雅黑" w:eastAsia="微软雅黑" w:hAnsi="微软雅黑" w:cs="黑体"/>
          <w:sz w:val="24"/>
        </w:rPr>
      </w:pPr>
      <w:r w:rsidRPr="008E0F64">
        <w:rPr>
          <w:rFonts w:ascii="微软雅黑" w:eastAsia="微软雅黑" w:hAnsi="微软雅黑" w:cs="黑体" w:hint="eastAsia"/>
          <w:sz w:val="24"/>
        </w:rPr>
        <w:t>第六章</w:t>
      </w:r>
      <w:r w:rsidRPr="008E0F64">
        <w:rPr>
          <w:rFonts w:ascii="微软雅黑" w:eastAsia="微软雅黑" w:hAnsi="微软雅黑" w:cs="黑体"/>
          <w:sz w:val="24"/>
        </w:rPr>
        <w:t xml:space="preserve">　</w:t>
      </w:r>
      <w:r w:rsidRPr="008E0F64">
        <w:rPr>
          <w:rFonts w:ascii="微软雅黑" w:eastAsia="微软雅黑" w:hAnsi="微软雅黑" w:cs="黑体" w:hint="eastAsia"/>
          <w:sz w:val="24"/>
        </w:rPr>
        <w:t>监督管理</w:t>
      </w:r>
    </w:p>
    <w:p w:rsidR="00C330D9" w:rsidRPr="008E0F64" w:rsidRDefault="00C330D9" w:rsidP="008E0F64">
      <w:pPr>
        <w:spacing w:line="340" w:lineRule="exact"/>
        <w:ind w:firstLineChars="200" w:firstLine="472"/>
        <w:rPr>
          <w:rFonts w:ascii="微软雅黑" w:eastAsia="微软雅黑" w:hAnsi="微软雅黑"/>
          <w:sz w:val="24"/>
        </w:rPr>
      </w:pP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第五十八条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县级以上人民政府及其有关主管部门依法对无障碍环境建设进行监督检查，根据工作需要开展联合监督检查。</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第五十九条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国家实施无障碍环境建设目标责任制和考核评价制度。县级以上地方人民政府根据本地区实际，制定具体考核办法。</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第六十条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县级以上地方人民政府有关主管部门定期委托第三方机构开展无障碍环境建设评估，并将评估结果向社会公布，接受社会监督。</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lastRenderedPageBreak/>
        <w:t>第六十一条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县级以上人民政府建立无障碍环境建设信息公示制度，定期发布无障碍环境建设情况。</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第六十二条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任何组织和个人有权向政府有关主管部门提出加强和改进无障碍环境建设的意见和建议，对违反本法规定的行为进行投诉、举报。县级以上人民政府有关主管部门接到涉及无障碍环境建设的投诉和举报，应当及时处理并予以答复。</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hint="eastAsia"/>
          <w:sz w:val="24"/>
        </w:rPr>
        <w:t>残疾人联合会、老龄协会等组织根据需要，可以聘请残疾人、老年人代表以及具有相关专业知识的人员，对无障碍环境建设情况进行监督。</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hint="eastAsia"/>
          <w:sz w:val="24"/>
        </w:rPr>
        <w:t>新闻媒体可以对无障碍环境建设情况开展舆论监督。</w:t>
      </w:r>
    </w:p>
    <w:p w:rsidR="00C330D9" w:rsidRPr="008E0F64" w:rsidRDefault="00384814" w:rsidP="008E0F64">
      <w:pPr>
        <w:spacing w:line="340" w:lineRule="exact"/>
        <w:ind w:firstLineChars="200" w:firstLine="472"/>
        <w:rPr>
          <w:rFonts w:ascii="微软雅黑" w:eastAsia="微软雅黑" w:hAnsi="微软雅黑" w:hint="eastAsia"/>
          <w:sz w:val="24"/>
        </w:rPr>
      </w:pPr>
      <w:r w:rsidRPr="008E0F64">
        <w:rPr>
          <w:rFonts w:ascii="微软雅黑" w:eastAsia="微软雅黑" w:hAnsi="微软雅黑" w:cs="黑体" w:hint="eastAsia"/>
          <w:sz w:val="24"/>
        </w:rPr>
        <w:t>第六十三条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对违反本法规定损害社会公共利益的行为，人民检察院可以提出检察建议或者提起公益诉讼。</w:t>
      </w:r>
    </w:p>
    <w:p w:rsidR="00C330D9" w:rsidRPr="008E0F64" w:rsidRDefault="00384814" w:rsidP="008E0F64">
      <w:pPr>
        <w:spacing w:line="340" w:lineRule="exact"/>
        <w:jc w:val="center"/>
        <w:rPr>
          <w:rFonts w:ascii="微软雅黑" w:eastAsia="微软雅黑" w:hAnsi="微软雅黑" w:cs="黑体"/>
          <w:sz w:val="24"/>
        </w:rPr>
      </w:pPr>
      <w:r w:rsidRPr="008E0F64">
        <w:rPr>
          <w:rFonts w:ascii="微软雅黑" w:eastAsia="微软雅黑" w:hAnsi="微软雅黑" w:cs="黑体" w:hint="eastAsia"/>
          <w:sz w:val="24"/>
        </w:rPr>
        <w:t>第七章</w:t>
      </w:r>
      <w:r w:rsidRPr="008E0F64">
        <w:rPr>
          <w:rFonts w:ascii="微软雅黑" w:eastAsia="微软雅黑" w:hAnsi="微软雅黑" w:cs="黑体"/>
          <w:sz w:val="24"/>
        </w:rPr>
        <w:t xml:space="preserve">　</w:t>
      </w:r>
      <w:r w:rsidRPr="008E0F64">
        <w:rPr>
          <w:rFonts w:ascii="微软雅黑" w:eastAsia="微软雅黑" w:hAnsi="微软雅黑" w:cs="黑体" w:hint="eastAsia"/>
          <w:sz w:val="24"/>
        </w:rPr>
        <w:t>法律责任</w:t>
      </w:r>
    </w:p>
    <w:p w:rsidR="00C330D9" w:rsidRPr="008E0F64" w:rsidRDefault="00C330D9" w:rsidP="008E0F64">
      <w:pPr>
        <w:spacing w:line="340" w:lineRule="exact"/>
        <w:ind w:firstLineChars="200" w:firstLine="472"/>
        <w:rPr>
          <w:rFonts w:ascii="微软雅黑" w:eastAsia="微软雅黑" w:hAnsi="微软雅黑"/>
          <w:sz w:val="24"/>
        </w:rPr>
      </w:pP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第六十四条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工程建设、设计、施工、监理单位未按照本法规定进行建设、设计、施工、监理的，由住房和城乡建设、民政、交通运输等相关主管部门责令限期改正；逾期未改正的，依照相关法律法规的规定进行处罚。</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第六十五条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违反本法规定，有下列情形之一的，由住房和城乡建设、民政、交通运输等相关主管部门责令限期改正；逾期未改正的，对单位处一万元以上三万元以下罚款，对个人处一百元以上五百元以下罚款：</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hint="eastAsia"/>
          <w:sz w:val="24"/>
        </w:rPr>
        <w:t>（一）无障碍设施责任人不履行维护和管理职责，无法保障无障碍设施功能正常和使用安全；</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hint="eastAsia"/>
          <w:sz w:val="24"/>
        </w:rPr>
        <w:t>（二）设置临时无障碍设施不符合相关规定；</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hint="eastAsia"/>
          <w:sz w:val="24"/>
        </w:rPr>
        <w:t>（三）擅自改变无障碍设施的用途或者非法占用、损坏无障碍设施。</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第六十六条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违反本法规定，不依法履行无障碍信息交流义务的，由网信、工业和信息化、电信、广播电视、新闻出版等相关主管部门责令限期改正；逾期未改正的，予以通报批评。</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第六十七条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电信业务经营者不依法提供无障碍信息服务的，由电信主管部门责令限期改正；逾期未改正的，处一万元以上十万元以下罚款。</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第六十八条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负有公共服务职责的部门和单位未依法提供无障碍社会服务的，由本级人民政府或者上级主管部门责令限期改正；逾期未改正的，对直接负责的主管人员和其他直接责任人员依法给予处分。</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第六十九条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考试举办者、组织者未依法向有残疾的考生提供便利服务的，由本级人民政府或者上级主管部门予以批评并责令改正；拒不改正的，对直接负责的主管人员和其他直接责任人员依法给予处分。</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第七十条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无障碍环境建设相关主管部门、有关组织的工作人员滥用职权、玩忽职守、徇私舞弊的，依法给予处分。</w:t>
      </w: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第七十一条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违反本法规定，造成人身损害、财产损失的，依法承担民事责任；构成犯罪的，依法追究刑事责任。</w:t>
      </w:r>
    </w:p>
    <w:p w:rsidR="00C330D9" w:rsidRPr="008E0F64" w:rsidRDefault="00C330D9" w:rsidP="008E0F64">
      <w:pPr>
        <w:spacing w:line="340" w:lineRule="exact"/>
        <w:ind w:firstLineChars="200" w:firstLine="472"/>
        <w:rPr>
          <w:rFonts w:ascii="微软雅黑" w:eastAsia="微软雅黑" w:hAnsi="微软雅黑"/>
          <w:sz w:val="24"/>
        </w:rPr>
      </w:pPr>
    </w:p>
    <w:p w:rsidR="00C330D9" w:rsidRPr="008E0F64" w:rsidRDefault="00384814" w:rsidP="008E0F64">
      <w:pPr>
        <w:spacing w:line="340" w:lineRule="exact"/>
        <w:jc w:val="center"/>
        <w:rPr>
          <w:rFonts w:ascii="微软雅黑" w:eastAsia="微软雅黑" w:hAnsi="微软雅黑" w:cs="黑体"/>
          <w:sz w:val="24"/>
        </w:rPr>
      </w:pPr>
      <w:r w:rsidRPr="008E0F64">
        <w:rPr>
          <w:rFonts w:ascii="微软雅黑" w:eastAsia="微软雅黑" w:hAnsi="微软雅黑" w:cs="黑体" w:hint="eastAsia"/>
          <w:sz w:val="24"/>
        </w:rPr>
        <w:t>第八章</w:t>
      </w:r>
      <w:r w:rsidRPr="008E0F64">
        <w:rPr>
          <w:rFonts w:ascii="微软雅黑" w:eastAsia="微软雅黑" w:hAnsi="微软雅黑" w:cs="黑体"/>
          <w:sz w:val="24"/>
        </w:rPr>
        <w:t xml:space="preserve">　</w:t>
      </w:r>
      <w:r w:rsidRPr="008E0F64">
        <w:rPr>
          <w:rFonts w:ascii="微软雅黑" w:eastAsia="微软雅黑" w:hAnsi="微软雅黑" w:cs="黑体" w:hint="eastAsia"/>
          <w:sz w:val="24"/>
        </w:rPr>
        <w:t>附则</w:t>
      </w:r>
    </w:p>
    <w:p w:rsidR="00C330D9" w:rsidRPr="008E0F64" w:rsidRDefault="00C330D9" w:rsidP="008E0F64">
      <w:pPr>
        <w:spacing w:line="340" w:lineRule="exact"/>
        <w:ind w:firstLineChars="200" w:firstLine="472"/>
        <w:rPr>
          <w:rFonts w:ascii="微软雅黑" w:eastAsia="微软雅黑" w:hAnsi="微软雅黑"/>
          <w:sz w:val="24"/>
        </w:rPr>
      </w:pPr>
    </w:p>
    <w:p w:rsidR="00C330D9" w:rsidRPr="008E0F64" w:rsidRDefault="00384814" w:rsidP="008E0F64">
      <w:pPr>
        <w:spacing w:line="340" w:lineRule="exact"/>
        <w:ind w:firstLineChars="200" w:firstLine="472"/>
        <w:rPr>
          <w:rFonts w:ascii="微软雅黑" w:eastAsia="微软雅黑" w:hAnsi="微软雅黑"/>
          <w:sz w:val="24"/>
        </w:rPr>
      </w:pPr>
      <w:r w:rsidRPr="008E0F64">
        <w:rPr>
          <w:rFonts w:ascii="微软雅黑" w:eastAsia="微软雅黑" w:hAnsi="微软雅黑" w:cs="黑体" w:hint="eastAsia"/>
          <w:sz w:val="24"/>
        </w:rPr>
        <w:t>第七十二条</w:t>
      </w:r>
      <w:r w:rsidRPr="008E0F64">
        <w:rPr>
          <w:rFonts w:ascii="微软雅黑" w:eastAsia="微软雅黑" w:hAnsi="微软雅黑" w:cs="仿宋_GB2312"/>
          <w:sz w:val="24"/>
        </w:rPr>
        <w:t xml:space="preserve">　</w:t>
      </w:r>
      <w:r w:rsidRPr="008E0F64">
        <w:rPr>
          <w:rFonts w:ascii="微软雅黑" w:eastAsia="微软雅黑" w:hAnsi="微软雅黑" w:hint="eastAsia"/>
          <w:sz w:val="24"/>
        </w:rPr>
        <w:t>本法自2023年9月1日起施行。</w:t>
      </w:r>
      <w:bookmarkStart w:id="0" w:name="_GoBack"/>
      <w:bookmarkEnd w:id="0"/>
    </w:p>
    <w:sectPr w:rsidR="00C330D9" w:rsidRPr="008E0F64" w:rsidSect="006423BB">
      <w:footerReference w:type="even" r:id="rId6"/>
      <w:footerReference w:type="default" r:id="rId7"/>
      <w:pgSz w:w="11906" w:h="16838"/>
      <w:pgMar w:top="720" w:right="720" w:bottom="720" w:left="720" w:header="567" w:footer="567" w:gutter="0"/>
      <w:cols w:space="708"/>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24E7" w:rsidRDefault="004F24E7" w:rsidP="00C330D9">
      <w:r>
        <w:separator/>
      </w:r>
    </w:p>
  </w:endnote>
  <w:endnote w:type="continuationSeparator" w:id="0">
    <w:p w:rsidR="004F24E7" w:rsidRDefault="004F24E7" w:rsidP="00C33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30D9" w:rsidRDefault="00384814">
    <w:pPr>
      <w:pStyle w:val="a3"/>
      <w:rPr>
        <w:rFonts w:ascii="宋体" w:hAnsi="宋体"/>
        <w:sz w:val="28"/>
        <w:szCs w:val="28"/>
      </w:rPr>
    </w:pPr>
    <w:r>
      <w:rPr>
        <w:rFonts w:ascii="宋体" w:hAnsi="宋体" w:hint="eastAsia"/>
        <w:sz w:val="28"/>
        <w:szCs w:val="28"/>
      </w:rPr>
      <w:t xml:space="preserve">　－</w:t>
    </w:r>
    <w:r w:rsidR="00C330D9">
      <w:rPr>
        <w:rFonts w:ascii="宋体" w:hAnsi="宋体"/>
        <w:sz w:val="28"/>
        <w:szCs w:val="28"/>
      </w:rPr>
      <w:fldChar w:fldCharType="begin"/>
    </w:r>
    <w:r>
      <w:rPr>
        <w:rFonts w:ascii="宋体" w:hAnsi="宋体"/>
        <w:sz w:val="28"/>
        <w:szCs w:val="28"/>
      </w:rPr>
      <w:instrText>PAGE   \* MERGEFORMAT</w:instrText>
    </w:r>
    <w:r w:rsidR="00C330D9">
      <w:rPr>
        <w:rFonts w:ascii="宋体" w:hAnsi="宋体"/>
        <w:sz w:val="28"/>
        <w:szCs w:val="28"/>
      </w:rPr>
      <w:fldChar w:fldCharType="separate"/>
    </w:r>
    <w:r w:rsidR="006423BB" w:rsidRPr="006423BB">
      <w:rPr>
        <w:rFonts w:ascii="宋体" w:hAnsi="宋体"/>
        <w:noProof/>
        <w:sz w:val="28"/>
        <w:szCs w:val="28"/>
        <w:lang w:val="zh-CN"/>
      </w:rPr>
      <w:t>4</w:t>
    </w:r>
    <w:r w:rsidR="00C330D9">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30D9" w:rsidRDefault="00384814">
    <w:pPr>
      <w:pStyle w:val="a3"/>
      <w:wordWrap w:val="0"/>
      <w:jc w:val="right"/>
    </w:pPr>
    <w:r>
      <w:rPr>
        <w:rFonts w:ascii="宋体" w:hAnsi="宋体" w:hint="eastAsia"/>
        <w:sz w:val="28"/>
        <w:szCs w:val="28"/>
      </w:rPr>
      <w:t>－</w:t>
    </w:r>
    <w:r w:rsidR="00C330D9">
      <w:rPr>
        <w:rFonts w:ascii="宋体" w:hAnsi="宋体"/>
        <w:sz w:val="28"/>
        <w:szCs w:val="28"/>
      </w:rPr>
      <w:fldChar w:fldCharType="begin"/>
    </w:r>
    <w:r>
      <w:rPr>
        <w:rFonts w:ascii="宋体" w:hAnsi="宋体"/>
        <w:sz w:val="28"/>
        <w:szCs w:val="28"/>
      </w:rPr>
      <w:instrText>PAGE   \* MERGEFORMAT</w:instrText>
    </w:r>
    <w:r w:rsidR="00C330D9">
      <w:rPr>
        <w:rFonts w:ascii="宋体" w:hAnsi="宋体"/>
        <w:sz w:val="28"/>
        <w:szCs w:val="28"/>
      </w:rPr>
      <w:fldChar w:fldCharType="separate"/>
    </w:r>
    <w:r w:rsidR="006423BB" w:rsidRPr="006423BB">
      <w:rPr>
        <w:rFonts w:ascii="宋体" w:hAnsi="宋体"/>
        <w:noProof/>
        <w:sz w:val="28"/>
        <w:szCs w:val="28"/>
        <w:lang w:val="zh-CN"/>
      </w:rPr>
      <w:t>1</w:t>
    </w:r>
    <w:r w:rsidR="00C330D9">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24E7" w:rsidRDefault="004F24E7" w:rsidP="00C330D9">
      <w:r>
        <w:separator/>
      </w:r>
    </w:p>
  </w:footnote>
  <w:footnote w:type="continuationSeparator" w:id="0">
    <w:p w:rsidR="004F24E7" w:rsidRDefault="004F24E7" w:rsidP="00C330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2"/>
  <w:noPunctuationKerning/>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NTgwODJlN2NjNTljYTMzYzkxNTI5MWQwNDBlMmM2Nz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84814"/>
    <w:rsid w:val="003A0332"/>
    <w:rsid w:val="003F636B"/>
    <w:rsid w:val="00420DB2"/>
    <w:rsid w:val="0044207F"/>
    <w:rsid w:val="0048283C"/>
    <w:rsid w:val="004D5710"/>
    <w:rsid w:val="004F24E7"/>
    <w:rsid w:val="004F542C"/>
    <w:rsid w:val="00550A4A"/>
    <w:rsid w:val="005667BC"/>
    <w:rsid w:val="005A4A7E"/>
    <w:rsid w:val="005C49EF"/>
    <w:rsid w:val="005F0A94"/>
    <w:rsid w:val="00610663"/>
    <w:rsid w:val="00616EB4"/>
    <w:rsid w:val="006423BB"/>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8E0F64"/>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330D9"/>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D9804AC"/>
    <w:rsid w:val="29BF3AB4"/>
    <w:rsid w:val="3DE63740"/>
    <w:rsid w:val="445F3FA1"/>
    <w:rsid w:val="481351D2"/>
    <w:rsid w:val="48F94C80"/>
    <w:rsid w:val="4A4F69C9"/>
    <w:rsid w:val="53543565"/>
    <w:rsid w:val="558A062C"/>
    <w:rsid w:val="622F12CF"/>
    <w:rsid w:val="653E08AD"/>
    <w:rsid w:val="6DE164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BA55A2"/>
  <w15:docId w15:val="{6057DB35-642C-49B6-A563-A66E797D4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30D9"/>
    <w:pPr>
      <w:widowControl w:val="0"/>
      <w:jc w:val="both"/>
    </w:pPr>
    <w:rPr>
      <w:rFonts w:eastAsia="仿宋_GB2312"/>
      <w:kern w:val="2"/>
      <w:sz w:val="32"/>
      <w:szCs w:val="24"/>
    </w:rPr>
  </w:style>
  <w:style w:type="paragraph" w:styleId="1">
    <w:name w:val="heading 1"/>
    <w:basedOn w:val="a"/>
    <w:next w:val="a"/>
    <w:uiPriority w:val="9"/>
    <w:qFormat/>
    <w:rsid w:val="00C330D9"/>
    <w:pPr>
      <w:jc w:val="left"/>
      <w:outlineLvl w:val="0"/>
    </w:pPr>
    <w:rPr>
      <w:rFonts w:ascii="宋体" w:eastAsia="宋体" w:hAnsi="宋体" w:hint="eastAsia"/>
      <w:b/>
      <w:bCs/>
      <w:kern w:val="44"/>
      <w:sz w:val="48"/>
      <w:szCs w:val="48"/>
    </w:rPr>
  </w:style>
  <w:style w:type="paragraph" w:styleId="2">
    <w:name w:val="heading 2"/>
    <w:basedOn w:val="a"/>
    <w:next w:val="a"/>
    <w:uiPriority w:val="9"/>
    <w:semiHidden/>
    <w:unhideWhenUsed/>
    <w:qFormat/>
    <w:rsid w:val="00C330D9"/>
    <w:pPr>
      <w:jc w:val="left"/>
      <w:outlineLvl w:val="1"/>
    </w:pPr>
    <w:rPr>
      <w:rFonts w:ascii="宋体" w:eastAsia="宋体" w:hAnsi="宋体" w:hint="eastAsia"/>
      <w:b/>
      <w:bCs/>
      <w:kern w:val="0"/>
      <w:sz w:val="36"/>
      <w:szCs w:val="36"/>
    </w:rPr>
  </w:style>
  <w:style w:type="paragraph" w:styleId="3">
    <w:name w:val="heading 3"/>
    <w:basedOn w:val="a"/>
    <w:next w:val="a"/>
    <w:uiPriority w:val="9"/>
    <w:semiHidden/>
    <w:unhideWhenUsed/>
    <w:qFormat/>
    <w:rsid w:val="00C330D9"/>
    <w:pPr>
      <w:jc w:val="left"/>
      <w:outlineLvl w:val="2"/>
    </w:pPr>
    <w:rPr>
      <w:rFonts w:ascii="宋体" w:eastAsia="宋体" w:hAnsi="宋体"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C330D9"/>
    <w:pPr>
      <w:tabs>
        <w:tab w:val="center" w:pos="4153"/>
        <w:tab w:val="right" w:pos="8306"/>
      </w:tabs>
      <w:snapToGrid w:val="0"/>
      <w:jc w:val="left"/>
    </w:pPr>
    <w:rPr>
      <w:rFonts w:eastAsia="宋体"/>
      <w:kern w:val="0"/>
      <w:sz w:val="18"/>
      <w:szCs w:val="18"/>
    </w:rPr>
  </w:style>
  <w:style w:type="paragraph" w:styleId="a5">
    <w:name w:val="header"/>
    <w:basedOn w:val="a"/>
    <w:link w:val="a6"/>
    <w:uiPriority w:val="99"/>
    <w:unhideWhenUsed/>
    <w:qFormat/>
    <w:rsid w:val="00C330D9"/>
    <w:pPr>
      <w:pBdr>
        <w:bottom w:val="single" w:sz="6" w:space="1" w:color="auto"/>
      </w:pBdr>
      <w:tabs>
        <w:tab w:val="center" w:pos="4153"/>
        <w:tab w:val="right" w:pos="8306"/>
      </w:tabs>
      <w:snapToGrid w:val="0"/>
      <w:jc w:val="center"/>
    </w:pPr>
    <w:rPr>
      <w:rFonts w:eastAsia="宋体"/>
      <w:kern w:val="0"/>
      <w:sz w:val="18"/>
      <w:szCs w:val="18"/>
    </w:rPr>
  </w:style>
  <w:style w:type="paragraph" w:styleId="a7">
    <w:name w:val="Normal (Web)"/>
    <w:basedOn w:val="a"/>
    <w:uiPriority w:val="99"/>
    <w:semiHidden/>
    <w:unhideWhenUsed/>
    <w:rsid w:val="00C330D9"/>
    <w:pPr>
      <w:jc w:val="left"/>
    </w:pPr>
    <w:rPr>
      <w:kern w:val="0"/>
      <w:sz w:val="24"/>
    </w:rPr>
  </w:style>
  <w:style w:type="character" w:styleId="a8">
    <w:name w:val="FollowedHyperlink"/>
    <w:uiPriority w:val="99"/>
    <w:unhideWhenUsed/>
    <w:qFormat/>
    <w:rsid w:val="00C330D9"/>
    <w:rPr>
      <w:color w:val="954F72"/>
      <w:u w:val="single"/>
    </w:rPr>
  </w:style>
  <w:style w:type="character" w:styleId="a9">
    <w:name w:val="Emphasis"/>
    <w:basedOn w:val="a0"/>
    <w:uiPriority w:val="20"/>
    <w:qFormat/>
    <w:rsid w:val="00C330D9"/>
  </w:style>
  <w:style w:type="character" w:styleId="aa">
    <w:name w:val="Hyperlink"/>
    <w:uiPriority w:val="99"/>
    <w:qFormat/>
    <w:rsid w:val="00C330D9"/>
    <w:rPr>
      <w:rFonts w:ascii="ˎ̥" w:hAnsi="ˎ̥" w:hint="default"/>
      <w:color w:val="0404B3"/>
      <w:sz w:val="18"/>
      <w:szCs w:val="18"/>
      <w:u w:val="none"/>
    </w:rPr>
  </w:style>
  <w:style w:type="character" w:customStyle="1" w:styleId="a4">
    <w:name w:val="页脚 字符"/>
    <w:link w:val="a3"/>
    <w:uiPriority w:val="99"/>
    <w:qFormat/>
    <w:rsid w:val="00C330D9"/>
    <w:rPr>
      <w:sz w:val="18"/>
      <w:szCs w:val="18"/>
    </w:rPr>
  </w:style>
  <w:style w:type="character" w:customStyle="1" w:styleId="a6">
    <w:name w:val="页眉 字符"/>
    <w:link w:val="a5"/>
    <w:uiPriority w:val="99"/>
    <w:qFormat/>
    <w:rsid w:val="00C330D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6</Pages>
  <Words>1091</Words>
  <Characters>6219</Characters>
  <Application>Microsoft Office Word</Application>
  <DocSecurity>0</DocSecurity>
  <Lines>51</Lines>
  <Paragraphs>14</Paragraphs>
  <ScaleCrop>false</ScaleCrop>
  <Company>Newdaxie</Company>
  <LinksUpToDate>false</LinksUpToDate>
  <CharactersWithSpaces>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dcterms:created xsi:type="dcterms:W3CDTF">2017-11-15T02:33:00Z</dcterms:created>
  <dcterms:modified xsi:type="dcterms:W3CDTF">2025-08-17T09:43:00Z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2052-11.1.0.14309</vt:lpwstr>
  </property>
</Properties>
</file>